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851C1" w14:textId="77777777" w:rsidR="008D5B99" w:rsidRPr="008D5B99" w:rsidRDefault="008D5B99" w:rsidP="008D5B99">
      <w:pPr>
        <w:widowControl w:val="0"/>
        <w:autoSpaceDE w:val="0"/>
        <w:autoSpaceDN w:val="0"/>
        <w:adjustRightInd w:val="0"/>
        <w:jc w:val="both"/>
        <w:rPr>
          <w:rFonts w:ascii="RobotoSlab-Regular" w:hAnsi="RobotoSlab-Regular" w:cs="RobotoSlab-Regular"/>
          <w:b/>
          <w:color w:val="262626"/>
          <w:sz w:val="32"/>
          <w:szCs w:val="32"/>
        </w:rPr>
      </w:pPr>
      <w:r w:rsidRPr="008D5B99">
        <w:rPr>
          <w:rFonts w:ascii="RobotoSlab-Regular" w:hAnsi="RobotoSlab-Regular" w:cs="RobotoSlab-Regular"/>
          <w:b/>
          <w:color w:val="262626"/>
          <w:sz w:val="32"/>
          <w:szCs w:val="32"/>
        </w:rPr>
        <w:t xml:space="preserve">ΕΑ Ολ 475/2013 </w:t>
      </w:r>
    </w:p>
    <w:p w14:paraId="319557A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p>
    <w:p w14:paraId="49510D04"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Η Επιτροπή Αναστολών του Συμβουλίου της Επικρατείας </w:t>
      </w:r>
    </w:p>
    <w:p w14:paraId="456D40BF"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(άρθρο 5 του ν. 3886/2010 και το άρθρο 52 του π.δ. 18/1989, όπως ισχύει) </w:t>
      </w:r>
    </w:p>
    <w:p w14:paraId="0B59C79E"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___________________ </w:t>
      </w:r>
    </w:p>
    <w:p w14:paraId="0E4B9EEA"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w:t>
      </w:r>
    </w:p>
    <w:p w14:paraId="061C386D"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Συνεδρίασε σε συμβούλιο στις 31 Οκτωβρίου 2013 με την εξής σύνθεση: Σωτ. Ρίζος, Πρόεδρος, Αντ. Ντέμσιας, Σπ. Χρυσικοπούλου, Κ. Φιλοπούλου, Σύμβουλοι, Ι. Μιχαλακόπουλος, Πάρεδρος. Ως Γραμματέας έλαβε μέρος η Μ. Παπασαράντη. </w:t>
      </w:r>
    </w:p>
    <w:p w14:paraId="03AD50A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Για να αποφασίσει σχετικά με την από 19 Αυγούστου 2013 αίτηση ασφαλιστικών μέτρων: </w:t>
      </w:r>
    </w:p>
    <w:p w14:paraId="2AFC63E6"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της εταιρείας με την επωνυμία «SWEDISH (ΣΟΥΙΝΤΙΣ) SYSTEMS (ΣΥΣΤΕΜΣ) SECURITY (ΣΕΚΙΟΥΡΙΤΙ) - IΔΙΩΤΙΚΗ ΕΠΙΧΕΙΡΗΣΗ ΠΑΡΟΧΗΣ ΥΠΗΡΕΣΙΩΝ ΑΣΦΑΛΕΙΑΣ Μονοπρόσωπη ΕΠΕ», που εδρεύει στη Θεσσαλονίκη (Τσιμισκή 62), η οποία παρέστη με το δικηγόρο Κωνσταντίνο Φινοκαλιώτη (Α.Μ. 3803 Δ.Σ. Θεσσαλονίκης), που τον διόρισε με πληρεξούσιο, </w:t>
      </w:r>
    </w:p>
    <w:p w14:paraId="2F9135BD"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κατά της ανώνυμης εταιρείας με την επωνυμία «Σταθερές Συγκοινωνίες Α.Ε.» (ΣΤΑΣΥ Α.Ε.), που εδρεύει στην Αθήνα (Αθηνάς 67), η οποία παρέστη με τη δικηγόρο Θεοδώρα Αισώπου (Α.Μ. 23630), που τη διόρισε με πληρεξούσιο, </w:t>
      </w:r>
    </w:p>
    <w:p w14:paraId="70C75C90"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και κατά της παρεμβαίνουσας ανώνυμης εταιρείας με την επωνυμία «G4S ΙΔΙΩΤΙΚΗ ΕΠΙΧΕΙΡΗΣΗ ΠΑΡΟΧΗΣ ΕΠΑΝΔΡΩΜΕΝΩΝ – ΤΕΧΝΙΚΩΝ ΥΠΗΡΕΣΙΩΝ ΑΣΦΑΛΕΙΑΣ ΑΝΩΝΥΜΗ ΕΤΑΙΡΕΙΑ» και με διακριτικό τίτλο «G4S SECURE SOLUTIONS S.A.», που εδρεύει στη Μεταμόρφωση Αττικής (Σώρου 7), η οποία παρέστη με τον δικηγόρο Ιωάννη Παραρά (Α.Μ. 21501), που τον διόρισε με πληρεξούσιο. </w:t>
      </w:r>
    </w:p>
    <w:p w14:paraId="2B36F667"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Η πιο πάνω αίτηση παραπέμφθηκε στην Ολομέλεια του Δικαστηρίου, κατόπιν της υπ’ αριθμ. 440/2013 αποφάσεως της Επιτροπής Αναστολών του Δ΄ Τμήματος του Συμβουλίου της Επικρατείας. </w:t>
      </w:r>
    </w:p>
    <w:p w14:paraId="76978B15"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lastRenderedPageBreak/>
        <w:t xml:space="preserve">  </w:t>
      </w:r>
    </w:p>
    <w:p w14:paraId="2EBF9147"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Με την αίτηση αυτή ζητείται να διαταχθούν ασφαλιστικά μέτρα σχετικά με τον ανοικτό διαγωνισμό για την ανάθεση της φύλαξης του συστήματος της γραμμής 1 της εταιρείας «ΣΤΑΘΕΡΕΣ ΣΥΓΚΟΙΝΩΝΙΕΣ Α.Ε.» για χρονικό διάστημα δύο ετών, με δυνατότητα ετήσιας παράτασης, που προκηρύχθηκε με την ΤΔ-020/2012 διακήρυξη της εν λόγω </w:t>
      </w:r>
      <w:proofErr w:type="gramStart"/>
      <w:r>
        <w:rPr>
          <w:rFonts w:ascii="RobotoSlab-Regular" w:hAnsi="RobotoSlab-Regular" w:cs="RobotoSlab-Regular"/>
          <w:color w:val="262626"/>
          <w:sz w:val="32"/>
          <w:szCs w:val="32"/>
        </w:rPr>
        <w:t>εταιρείας  Κατά</w:t>
      </w:r>
      <w:proofErr w:type="gramEnd"/>
      <w:r>
        <w:rPr>
          <w:rFonts w:ascii="RobotoSlab-Regular" w:hAnsi="RobotoSlab-Regular" w:cs="RobotoSlab-Regular"/>
          <w:color w:val="262626"/>
          <w:sz w:val="32"/>
          <w:szCs w:val="32"/>
        </w:rPr>
        <w:t xml:space="preserve"> τη συνεδρίασή της η Επιτροπή άκουσε τον εισηγητή, Πάρεδρο Ι. Μιχαλακόπουλο. </w:t>
      </w:r>
    </w:p>
    <w:p w14:paraId="063512F5"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Κατόπιν η Επιτροπή άκουσε τον πληρεξούσιο της αιτούσας εταιρείας, ο οποίος ζήτησε να γίνει δεκτή η αίτηση, την πληρεξούσια της καθ΄ ης εταιρείας και τον πληρεξούσιο της παρεμβαίνουσας εταιρείας, που ζήτησαν την απόρριψή της. </w:t>
      </w:r>
    </w:p>
    <w:p w14:paraId="3D250364"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Α φ ο ύ μ ε λ έ τ η σ ε τ α σ χ ε τ ι κ ά έ γ γ ρ α φ α </w:t>
      </w:r>
    </w:p>
    <w:p w14:paraId="4FFFEA9E"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Σ κ έ φ θ η κ ε κ α τ ά τ ο Νόμο </w:t>
      </w:r>
    </w:p>
    <w:p w14:paraId="27D8A0B1"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3C99725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1. Επειδή, για την άσκηση της κρινομένης αιτήσεως έχει κατατεθεί παράβολο ύψους 16.668 ευρώ (βλ. διπλότυπο εισπράξεως της Δ.Ο.Υ. Δ΄ Θεσσαλονίκης υπ’ αρ. 4524880, σειρά Η, α. α. 8523, της 19.8.2013), το οποίο αντιστοιχεί μόνο στο ένα τρίτο του παραβόλου το οποίο απαιτείται κατά το άρθ. 5 παρ. 1 εδάφ. δεύτερο του ν. 3886/2010. </w:t>
      </w:r>
    </w:p>
    <w:p w14:paraId="65C4CE8B"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4A34A142"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2. Επειδή, με την ΤΔ-020/2012 διακήρυξη της εταιρείας «ΣΤΑΘΕΡΕΣ ΣΥΓΚΟΙΝΩΝΙΕΣ Α.Ε.», προκηρύχθηκε ανοικτός διαγωνισμός με κριτήριο κατακυρώσεως την χαμηλότερη τιμή, προκειμένου ν΄ ανατεθεί η φύλαξη του συστήματος της γραμμής 1 της εν λόγω εταιρείας επί χρονικό διάστημα δύο ετών, με δυνατότητα ετησίας παρατάσεως. Η προϋπολογισθείσα δαπάνη ανέρχεται σε 4.700.000 ευρώ, πλέον Φ.Π.Α. Στον διαγωνισμό ο οποίος διεξήχθη στις 3.8.2012, έλαβαν μέρος τρεις εταιρείες, μεταξύ των οποίων και η αιτούσα. Πρώτη κατετάγη η εταιρεία «G4S ΙΔΙΩΤΙΚΗ ΕΠΙΧΕΙΡΗΣΗ ΠΑΡΟΧΗΣ ΕΠΑΝΔΡΩΜΕΝΩΝ –ΤΕΧΝΙΚΩΝ ΥΠΗΡΕΣΙΩΝ ΑΣΦΑΛΕΙΑΣ ΑΝΩΝΥΜΗ ΕΤΑΙΡΕΙΑ», η οποία είχε </w:t>
      </w:r>
      <w:r>
        <w:rPr>
          <w:rFonts w:ascii="RobotoSlab-Regular" w:hAnsi="RobotoSlab-Regular" w:cs="RobotoSlab-Regular"/>
          <w:color w:val="262626"/>
          <w:sz w:val="32"/>
          <w:szCs w:val="32"/>
        </w:rPr>
        <w:lastRenderedPageBreak/>
        <w:t xml:space="preserve">υποβάλει την χαμηλότερη τιμή και δεύτερη η ήδη αιτούσα. Η αιτούσα άσκησε την κατ΄ άρ. 4 του ν. 3886/2010 προδικαστική προσφυγή, προβάλλοντας ότι η προσφορά της πρώτης καταταγείσης εταιρείας δεν ήταν σύμφωνη προς επιτακτικούς ορισμούς του νόμου και της διακηρύξεως. Η προσφυγή αυτή απορρίφθηκε τελικά με ρητή πράξη του Διοικητικού Συμβουλίου (Δ.Σ) της εταιρείας «ΣΤΑΘΕΡΕΣ ΣΥΓΚΟΙΝΩΝΙΕΣ Α.Ε.» [υπό στοιχεία 1633/συν. 584/5.4.2013], η κατ’ αυτής, όμως, αίτηση ασφαλιστικών μέτρων έγινε δεκτή με την 198/2013 απόφαση της Επιτροπής Αναστολών. Με την απόφαση αυτή κρίθηκε μη νόμιμη η απόρριψη της προδικαστικής προσφυγής της αιτούσας, ως ανεπαρκώς αιτιολογημένη. Το Δ.Σ. της καθ’ ης επελήφθη κατόπιν τούτου και με την υπό στοιχεία 1717/συν. 600/1.8.2013 πράξη του απέρριψε και πάλι την προδικαστική προσφυγή της αιτούσας η οποία άσκησε κατ’ αυτής την κρινομένη αίτηση, ζητώντας την λήψη των καταλλήλων ασφαλιστικών μέτρων προς προστασία των συμφερόντων της. </w:t>
      </w:r>
    </w:p>
    <w:p w14:paraId="601B36FE"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0F199C32"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3. Επειδή, η κρινομένη αίτηση παραπέμφθηκε στην Επιτροπή Αναστολών της Ολομελείας υπό πενταμελή σύνθεση, κατά τα οριζόμενα στο άρθρο 52 παρ. 2 εδάφιο τρίτο του κωδικ. π. δ/τος 18/1989 (Α΄ 8) [όπως το εδάφιο αυτό προστέθηκε με το άρθρο 10 του ν. 3900/2010 (Α΄ 213)], με την υπ’ αριθμ. 440/2013 απόφαση της Επιτροπής Αναστολών του Δ΄ Τμήματος του Συμβουλίου της Επικρατείας. </w:t>
      </w:r>
      <w:r w:rsidRPr="00206E30">
        <w:rPr>
          <w:rFonts w:ascii="RobotoSlab-Regular" w:hAnsi="RobotoSlab-Regular" w:cs="RobotoSlab-Regular"/>
          <w:b/>
          <w:color w:val="262626"/>
          <w:sz w:val="32"/>
          <w:szCs w:val="32"/>
        </w:rPr>
        <w:t xml:space="preserve">Η παραπομπή αυτή εχώρησε λόγω της εν μέρει αντίθετης νομολογίας του σχηματισμού αυτού της Ολομελείας (απόφαση 136/2013 της Επιτροπής Αναστολών) επί της συνταγματικότητας της νομοθετικής προβλέψεως για το χρονικό σημείο καταβολής του ουσιωδώς αυξημένου, ειδικώς για τις αιτήσεις ασφαλιστικών μέτρων του ν. 3886/2010, παραβόλου. Συγκεκριμένα, η μεν απόφαση 136/2013 της Επιτροπής Αναστολών της Ολομελείας είχε κρίνει ότι αντέκειτο στην αρχή της αναλογικότητας η πρόβλεψη για άμεση καταβολή ολοκλήρου του ποσού του παραβόλου μέχρι την πρώτη συζήτηση της υποθέσεως στο </w:t>
      </w:r>
      <w:r w:rsidRPr="00206E30">
        <w:rPr>
          <w:rFonts w:ascii="RobotoSlab-Regular" w:hAnsi="RobotoSlab-Regular" w:cs="RobotoSlab-Regular"/>
          <w:b/>
          <w:color w:val="262626"/>
          <w:sz w:val="32"/>
          <w:szCs w:val="32"/>
        </w:rPr>
        <w:lastRenderedPageBreak/>
        <w:t>ακροατήριο, όπως η ρύθμιση είχε μετά τον ν. 4111/2013. Η δε απόφαση 440/2013 της Επιτροπής Αναστολών του Δ΄ Τμήματος, αντιθέτως, έκρινε ότι δεν παραβιάζει καμμία υπερτέρας τυπικής ισχύος διάταξη η απαίτηση του μεταγενεστέρου -και εφαρμοστέου στην παρούσα υπόθεση- ν. 4146/2013 για καταβολή του 1/3 του παραβόλου κατά την κατάθεση της αιτήσεως και των 2/3 κατά την συζήτησή της</w:t>
      </w:r>
      <w:r>
        <w:rPr>
          <w:rFonts w:ascii="RobotoSlab-Regular" w:hAnsi="RobotoSlab-Regular" w:cs="RobotoSlab-Regular"/>
          <w:color w:val="262626"/>
          <w:sz w:val="32"/>
          <w:szCs w:val="32"/>
        </w:rPr>
        <w:t xml:space="preserve">. </w:t>
      </w:r>
    </w:p>
    <w:p w14:paraId="6489EF8C"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1AB7AF58"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4. Επειδή, κατά τα ήδη κριθέντα (βλ. Ε.Α. </w:t>
      </w:r>
      <w:r>
        <w:rPr>
          <w:rFonts w:ascii="RobotoSlab-Bold" w:hAnsi="RobotoSlab-Bold" w:cs="RobotoSlab-Bold"/>
          <w:b/>
          <w:bCs/>
          <w:color w:val="06386D"/>
          <w:sz w:val="32"/>
          <w:szCs w:val="32"/>
        </w:rPr>
        <w:t>20</w:t>
      </w:r>
      <w:r>
        <w:rPr>
          <w:rFonts w:ascii="RobotoSlab-Regular" w:hAnsi="RobotoSlab-Regular" w:cs="RobotoSlab-Regular"/>
          <w:color w:val="262626"/>
          <w:sz w:val="32"/>
          <w:szCs w:val="32"/>
        </w:rPr>
        <w:t xml:space="preserve">, </w:t>
      </w:r>
      <w:r>
        <w:rPr>
          <w:rFonts w:ascii="RobotoSlab-Bold" w:hAnsi="RobotoSlab-Bold" w:cs="RobotoSlab-Bold"/>
          <w:b/>
          <w:bCs/>
          <w:color w:val="06386D"/>
          <w:sz w:val="32"/>
          <w:szCs w:val="32"/>
        </w:rPr>
        <w:t>198/2013</w:t>
      </w:r>
      <w:r>
        <w:rPr>
          <w:rFonts w:ascii="RobotoSlab-Regular" w:hAnsi="RobotoSlab-Regular" w:cs="RobotoSlab-Regular"/>
          <w:color w:val="262626"/>
          <w:sz w:val="32"/>
          <w:szCs w:val="32"/>
        </w:rPr>
        <w:t xml:space="preserve">) η επίδικη διαφορά, ως εκ της ιδιότητος του φορέα που αναθέτει την σύμβαση, του αντικειμένου και της προϋπολογιζομένης δαπάνης της, εμπίπτει στο πεδίο εφαρμογής της Οδηγίας 2004/17/ΕΚ του Ευρωπαϊκού Κοινοβουλίου και του Συμβουλίου (EE L 134) και -κατ’ ακολουθίαν- στο άρθρο 1 παρ. 1 του ν. 3886/2010 (Α´ 173), η δε εκδίκασή της υπάγεται στην καθ’ ύλην αρμοδιότητα του Συμβουλίου της Επικρατείας δυνάμει του άρ. 3 παρ. 3 του τελευταίου αυτού νόμου. </w:t>
      </w:r>
    </w:p>
    <w:p w14:paraId="13CE8283"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74719043"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5. Επειδή, με προφανές έννομο συμφέρον παρεμβαίνει, ζητώντας την απόρριψη της κρινομένης αιτήσεως, η ως άνω ανώνυμη εταιρεία με την επωνυμία «G4S ΙΔΙΩΤΙΚΗ ΕΠΙΧΕΙΡΗΣΗ ΠΑΡΟΧΗΣ ΕΠΑΝΔΡΩΜΕΝΩΝ – ΤΕΧΝΙΚΩΝ ΥΠΗΡΕΣΙΩΝ ΑΣΦΑΛΕΙΑΣ Α.Ε.». </w:t>
      </w:r>
    </w:p>
    <w:p w14:paraId="43B84EC7"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10B30CA0"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6. Επειδή, η αιτούσα κατά την κατάθεση της υπό κρίση αιτήσεως κατέβαλε το ένα τρίτο (1/3) του προβλεπομένου στην διάταξη του άρθ. 5 παρ. 1 εδ. δεύτερο του ν. 3886/2010, όπως ισχύει, παραβόλου, χωρίς ωστόσο να καταβάλει έως την συζήτηση της υποθέσεως ενώπιον της Επιτροπής Αναστολών (τόσον ενώπιον του Τμήματος όσο και ενώπιον της Ολομελείας) το υπολειπόμενο ποσό των 2/3 του παραβόλου, ανερχόμενο βάσει της προϋπολογιζομένης δαπάνης (4.700.000 ευρώ και επί πλέον Φ.Π.Α.) σε 33.332 ευρώ. Ισχυρίζεται δε ότι παραδεκτώς συζητείται η υπόθεση, παρά την μη καταβολή του υπολοίπου αυτού ποσού, διότι, κατά τα προβαλλόμενα, η ως άνω διάταξη </w:t>
      </w:r>
      <w:r>
        <w:rPr>
          <w:rFonts w:ascii="RobotoSlab-Regular" w:hAnsi="RobotoSlab-Regular" w:cs="RobotoSlab-Regular"/>
          <w:color w:val="262626"/>
          <w:sz w:val="32"/>
          <w:szCs w:val="32"/>
        </w:rPr>
        <w:lastRenderedPageBreak/>
        <w:t xml:space="preserve">του άρ. 5 παρ. 1 εδ. δεύτερο του ν. 3886/2010, καθ’ ο μέρος επιβάλλει επί ποινή απαραδέκτου της αιτήσεως ασφαλιστικών μέτρων την υποχρέωση καταβολής ολοκλήρου του ποσού του παραβόλου έως την πρώτη συζήτηση της υποθέσεως, είναι αντισυνταγματική. </w:t>
      </w:r>
    </w:p>
    <w:p w14:paraId="3FF811EB"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2AD43C43"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7. Επειδή, το άρθρο 5 του ν. 3886/2010, στο δεύτερο και τρίτο εδάφιο της παραγράφου 1 αυτού, τα οποία (εδάφια) προστέθηκαν με το άρ. 28 του ν. 4111/2013 (Α΄ 18) όριζε τα </w:t>
      </w:r>
      <w:proofErr w:type="gramStart"/>
      <w:r>
        <w:rPr>
          <w:rFonts w:ascii="RobotoSlab-Regular" w:hAnsi="RobotoSlab-Regular" w:cs="RobotoSlab-Regular"/>
          <w:color w:val="262626"/>
          <w:sz w:val="32"/>
          <w:szCs w:val="32"/>
        </w:rPr>
        <w:t>εξής :</w:t>
      </w:r>
      <w:proofErr w:type="gramEnd"/>
      <w:r>
        <w:rPr>
          <w:rFonts w:ascii="RobotoSlab-Regular" w:hAnsi="RobotoSlab-Regular" w:cs="RobotoSlab-Regular"/>
          <w:color w:val="262626"/>
          <w:sz w:val="32"/>
          <w:szCs w:val="32"/>
        </w:rPr>
        <w:t xml:space="preserve"> «Για το παραδεκτό της άσκησης της αιτήσεως αυτής πρέπει να κατατεθεί, μέχρι την πρώτη συζήτηση της υποθέσεως, παράβολο, το ύψος του οποίου ανέρχεται σε ποσοστό 1% της προϋπολογισθείσας αξίας, περιλαμβανομένου του Φ.Π.Α.» (εδ. β’) και «Για την είσπραξη του παράβολου, το οποίο δεν μπορεί να υπερβεί τις 50.000 ευρώ, εκδίδεται αποκλειστικά διπλότυπο είσπραξης από τις Δημόσιες Οικονομικές Υπηρεσίες […]. Σε περίπτωση ολικής ή μερικής αποδοχής της αιτήσεως το δικαστήριο διατάσσει την απόδοσή του στον αιτούντα» (εδ. γ’). Με την απόφαση 136/2013 της Επιτροπής Αναστολών της Ολομελείας του Δικαστηρίου έγινε μεν δεκτό ότι δια του ως άνω καθορισμού του ύψους του παραβόλου δεν παραβιάζονται τα άρθρα 20 παρ. 1 του Συντάγματος και 6 της Ευρωπαϊκής Συμβάσεως των Δικαιωμάτων του Ανθρώπου (Ε.Σ.Δ.Α.) ούτε και η γενική αρχή της αποτελεσματικής δικαστικής προστασίας του δικαίου της Ευρωπαϊκής Ενώσεως, κρίθηκε, όμως, ότι η επιβαλλομένη από την διάταξη αυτή υποχρέωση καταβολής ολοκλήρου του ποσού του παραβόλου έως την πρώτη συζήτηση της υποθέσεως, ως προϋπόθεση παραδεκτού της αιτήσεως ασφαλιστικών μέτρων, συνιστά ρύθμιση δυσαναλόγως αυστηρή σε σχέση με τους επιδιωκομένους σκοπούς της. Κατόπιν αυτών η ανωτέρω διάταξη θεωρήθηκε από την Ε.Α. 136/2013 ως ανίσχυρη κατά το μέρος αυτό και κρίθηκε ότι, περιαιρουμένης της ανίσχυρης ρυθμίσεως, εφαρμόζεται το άρ. 36 παρ. 1 του κωδ. π. δ/τος 18/1989, οπότε για το παραδεκτό της αιτήσεως ασφαλιστικών μέτρων καταβάλλεται το γενικώς </w:t>
      </w:r>
      <w:r>
        <w:rPr>
          <w:rFonts w:ascii="RobotoSlab-Regular" w:hAnsi="RobotoSlab-Regular" w:cs="RobotoSlab-Regular"/>
          <w:color w:val="262626"/>
          <w:sz w:val="32"/>
          <w:szCs w:val="32"/>
        </w:rPr>
        <w:lastRenderedPageBreak/>
        <w:t xml:space="preserve">προβλεπόμενο παράβολο, ενώ, περαιτέρω, το νομίμως προβλεπόμενο αναλογικό παράβολο επιβάλλεται (με την δικαστική απόφαση που εκδίδεται) σε περίπτωση που απορρίπτεται η αίτηση ασφαλιστικών μέτρων. </w:t>
      </w:r>
    </w:p>
    <w:p w14:paraId="2B18B2A7"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6D8A821D"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8. Επειδή, ακολούθως, με την παράγραφο 1 του άρ. 74 του ν. 4146/2013 (Α΄ 90) αντικαταστάθηκε το δεύτερο εδάφιο της παρ. 1 του άρ. 5 του ν. 3886 ως </w:t>
      </w:r>
      <w:proofErr w:type="gramStart"/>
      <w:r>
        <w:rPr>
          <w:rFonts w:ascii="RobotoSlab-Regular" w:hAnsi="RobotoSlab-Regular" w:cs="RobotoSlab-Regular"/>
          <w:color w:val="262626"/>
          <w:sz w:val="32"/>
          <w:szCs w:val="32"/>
        </w:rPr>
        <w:t>εξής :</w:t>
      </w:r>
      <w:proofErr w:type="gramEnd"/>
      <w:r>
        <w:rPr>
          <w:rFonts w:ascii="RobotoSlab-Regular" w:hAnsi="RobotoSlab-Regular" w:cs="RobotoSlab-Regular"/>
          <w:color w:val="262626"/>
          <w:sz w:val="32"/>
          <w:szCs w:val="32"/>
        </w:rPr>
        <w:t xml:space="preserve"> «Για την άσκηση της αιτήσεως αυτής κατατίθεται παράβολο το ύψος του οποίου ανέρχεται σε ποσοστό 1% της προϋπολογισθείσας αξίας, περιλαμβανομένου του Φ.Π.Α. Η αίτηση ασφαλιστικών μέτρων απορρίπτεται ως απαράδεκτη αν κατά την κατάθεσή της δεν καταβληθεί το 1/3 του οφειλομένου παραβόλου και έως την πρώτη συζήτηση τα υπόλοιπα 2/3». Με την δε παράγραφο 2 του ιδίου άρθρου 74 προστέθηκε τελευταίο εδάφιο στην εν λόγω παράγραφο 1, το οποίο ορίζει </w:t>
      </w:r>
      <w:proofErr w:type="gramStart"/>
      <w:r>
        <w:rPr>
          <w:rFonts w:ascii="RobotoSlab-Regular" w:hAnsi="RobotoSlab-Regular" w:cs="RobotoSlab-Regular"/>
          <w:color w:val="262626"/>
          <w:sz w:val="32"/>
          <w:szCs w:val="32"/>
        </w:rPr>
        <w:t>ότι :</w:t>
      </w:r>
      <w:proofErr w:type="gramEnd"/>
      <w:r>
        <w:rPr>
          <w:rFonts w:ascii="RobotoSlab-Regular" w:hAnsi="RobotoSlab-Regular" w:cs="RobotoSlab-Regular"/>
          <w:color w:val="262626"/>
          <w:sz w:val="32"/>
          <w:szCs w:val="32"/>
        </w:rPr>
        <w:t xml:space="preserve"> «Το παράβολο αποδίδεται και στην περίπτωση κατά την οποίαν η αίτηση ασφαλιστικών μέτρων απορριφθεί σύμφωνα με το εδάφιο β΄ της παραγράφου 5 του παρόντος άρθρου» (όταν, δηλαδή, απορριφθεί για λόγους δημοσίου συμφέροντος) Η ανωτέρω ρύθμιση του άρ. 74 παρ. 1 και 2 του ν. 4146/2013 (δημοσιευθέντος στην Εφημερίδα της Κυβερνήσεως την 18.4.2013) εισήχθη κατόπιν τροπολογίας, η οποία κατατέθηκε την 29.3.2013, στην δε σχετική αιτιολογική έκθεση αναφέρονται τα </w:t>
      </w:r>
      <w:proofErr w:type="gramStart"/>
      <w:r>
        <w:rPr>
          <w:rFonts w:ascii="RobotoSlab-Regular" w:hAnsi="RobotoSlab-Regular" w:cs="RobotoSlab-Regular"/>
          <w:color w:val="262626"/>
          <w:sz w:val="32"/>
          <w:szCs w:val="32"/>
        </w:rPr>
        <w:t>εξής :</w:t>
      </w:r>
      <w:proofErr w:type="gramEnd"/>
      <w:r>
        <w:rPr>
          <w:rFonts w:ascii="RobotoSlab-Regular" w:hAnsi="RobotoSlab-Regular" w:cs="RobotoSlab-Regular"/>
          <w:color w:val="262626"/>
          <w:sz w:val="32"/>
          <w:szCs w:val="32"/>
        </w:rPr>
        <w:t xml:space="preserve"> « Με τη ρύθμιση αυτή επιδιώκεται να αποθαρρυνθούν όσοι αιτούντες παρελκυστικά ασκούν αιτήσεις ασφαλιστικών μέτρων, επωφελούμενοι από το διάστημα μεταξύ κατάθεσης και συζήτησης της υπόθεσης, διάστημα κατά το οποίο κατά κανόνα έχει ανασταλεί η σύναψη της σύμβασης». </w:t>
      </w:r>
    </w:p>
    <w:p w14:paraId="75AE7D61"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420CF357" w14:textId="77777777" w:rsidR="00206E30"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9. Επειδή, από το άρθρο 54 παράγραφοι 1 και 5 της εφαρμοστέας στον επίδικο διαγωνισμό Οδηγίας 2004/17/ΕΚ του Ευρωπαϊκού Κοινοβουλίου και του Συμβουλίου (L 134), προκύπτει ότι τα οριζόμενα από τους αναθέτοντες φορείς κριτήρια επιλογής μπορεί να περιλαμβάνουν απαιτήσεις </w:t>
      </w:r>
      <w:r>
        <w:rPr>
          <w:rFonts w:ascii="RobotoSlab-Regular" w:hAnsi="RobotoSlab-Regular" w:cs="RobotoSlab-Regular"/>
          <w:color w:val="262626"/>
          <w:sz w:val="32"/>
          <w:szCs w:val="32"/>
        </w:rPr>
        <w:lastRenderedPageBreak/>
        <w:t xml:space="preserve">σχετικές με την χρηματοοικονομική ικανότητα του οικονομικού φορέα [βλ. τις αντίστοιχες παραγράφους 1 και 5 του άρ. 45 π. δ/τος 59/2007 (Α΄ 63)]. Στην προκειμένη περίπτωση, η διέπουσα τον επίδικο διαγωνισμό διακήρυξη στο άρθρο 8.11 αυτής, με τίτλο «Στοιχεία χρηματοληπτικής – δανειοληπτικής και οικονομικής ικανότητας» ορίζει τα </w:t>
      </w:r>
      <w:proofErr w:type="gramStart"/>
      <w:r>
        <w:rPr>
          <w:rFonts w:ascii="RobotoSlab-Regular" w:hAnsi="RobotoSlab-Regular" w:cs="RobotoSlab-Regular"/>
          <w:color w:val="262626"/>
          <w:sz w:val="32"/>
          <w:szCs w:val="32"/>
        </w:rPr>
        <w:t>εξής :</w:t>
      </w:r>
      <w:proofErr w:type="gramEnd"/>
      <w:r>
        <w:rPr>
          <w:rFonts w:ascii="RobotoSlab-Regular" w:hAnsi="RobotoSlab-Regular" w:cs="RobotoSlab-Regular"/>
          <w:color w:val="262626"/>
          <w:sz w:val="32"/>
          <w:szCs w:val="32"/>
        </w:rPr>
        <w:t xml:space="preserve"> «Ο κάθε διαγωνιζόμενος πρέπει να υποβάλει βεβαίωση Τράπεζας ή αντίστοιχου Πιστωτικού Ιδρύματος, …, στην οποία να αναφέρεται : ‘‘ Η χρηματοληπτική – δανειοληπτική ικανότητα της εν λόγω επιχείρησης …. ανέρχεται για εγγυητικές επιστολές σε ποσό ύψους επτακοσίων χιλιάδων (700.000) ευρώ και για λήψη δανείου σε ποσό ύψους ενός εκατομμυρίου τετρακοσίων χιλιάδων (1.400.000) ευρώ’’. Σε περίπτωση κοινοπραξίας ή ένωσης η χρηματοληπτική – δανειοληπτική ικανότητα μπορεί να καλύπτεται αθροιστικά από τις συμμετέχουσες … επιχειρήσεις κατά το ποσοστό συμμετοχής τους σε αυτήν». Περαιτέρω, οι συμμετέχοντες αφ’ ενός μεν υποχρεούνται σύμφωνα με το άρ. 8.2 της διακηρύξεως να καταθέσουν εγγυητική επιστολή συμμετοχής, ύψους 289.050 ευρώ (ήτοι ποσοστού 6,15% επί του προϋπολογισμού), αφ’ ετέρου δε σύμφωνα με το άρ. 14 της διακηρύξεως υποχρεούνται, στην περίπτωση που αναδειχθούν ανάδοχοι, να καταθέσουν κατά την σύναψη της συμβάσεως εγγυητική επιστολή καλής εκτελέσεώς της, η οποία ανέρχεται σε 15% της οικονομικής προσφοράς τους [Εν προκειμένω για την αιτούσα θα προέκυπτε ποσό 586.866 ευρώ βάσει της οικονομικής προσφοράς της, η οποία ανέρχεται συνολικώς σε 3.912.444 ευρώ για δύο έτη].</w:t>
      </w:r>
    </w:p>
    <w:p w14:paraId="05E02940"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w:t>
      </w:r>
    </w:p>
    <w:p w14:paraId="039B2B29" w14:textId="77777777" w:rsidR="00206E30"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10. Επειδή, </w:t>
      </w:r>
      <w:r w:rsidRPr="00206E30">
        <w:rPr>
          <w:rFonts w:ascii="RobotoSlab-Regular" w:hAnsi="RobotoSlab-Regular" w:cs="RobotoSlab-Regular"/>
          <w:color w:val="262626"/>
          <w:sz w:val="32"/>
          <w:szCs w:val="32"/>
          <w:highlight w:val="yellow"/>
        </w:rPr>
        <w:t xml:space="preserve">τα άρθρα 20 παρ. 1 του Συντάγματος και 6 παρ. 1 της Ε.Σ.Δ.Α., που κατοχυρώνουν το δικαίωμα δικαστικής προστασίας, το οποίο περιλαμβάνει και την προσωρινή δικαστική προστασία (Ε.Α. 496/2011 Ολομ.ΣτΕ, απόφαση του Ευρωπαϊκού Δικαστηρίου των Δικαιωμάτων του Ανθρώπου Micallef κατά Μάλτας της 15.10.2009), δεν αποκλείουν στον κοινό νομοθέτη να θεσπίζει δικονομικές προϋποθέσεις για την </w:t>
      </w:r>
      <w:r w:rsidRPr="00206E30">
        <w:rPr>
          <w:rFonts w:ascii="RobotoSlab-Regular" w:hAnsi="RobotoSlab-Regular" w:cs="RobotoSlab-Regular"/>
          <w:color w:val="262626"/>
          <w:sz w:val="32"/>
          <w:szCs w:val="32"/>
          <w:highlight w:val="yellow"/>
        </w:rPr>
        <w:lastRenderedPageBreak/>
        <w:t xml:space="preserve">παροχή προστασίας από τα δικαστήρια και την πρόοδο της δίκης. Οι σχετικές, όμως, ρυθμίσεις πρέπει, αφ’ ενός μεν να συνάπτονται με τη λειτουργία των δικαστηρίων και την ανάγκη αποτελεσματικής απονομής της δικαιοσύνης, αφ’ ετέρου δε να μην υπερβαίνουν τα όρια εκείνα, πέραν των οποίων θα συνεπάγονταν την άμεση ή έμμεση κατάλυση του προστατευομένου από τις ανωτέρω διατάξεις ατομικού δικαιώματος παροχής δικαστικής προστασίας (ΣτΕ Ολομ. 601/2012, 3087/2011, 1583/2010 κ. ά., βλ. και απόφαση ΕΔΑΔ της 16ης Νοεμβρίου 2006, Τσαλκιτζής κατά Ελλάδας). Η υποχρέωση δε καταβολής παραβόλου ως προϋπόθεση του παραδεκτού ενδίκου βοηθήματος ή μέσου αποβλέπει στην αποτροπή της ασκήσεως αστηρίκτων ενδίκων βοηθημάτων και μέσων χάριν της εύρυθμης λειτουργίας των δικαστηρίων και της αποτελεσματικής απονομής της δικαιοσύνης. Εν όψει δε του σκοπού αυτού, στον οποίον αποβλέπει η θέσπιση της υποχρεώσεως αυτής, η τύχη του παραβόλου (κατάπτωση, πολλαπλασιασμός ή απόδοση στον καταβαλόντα) συναρτάται με την έκβαση και τις εν γένει περιστάσεις της δίκης (βλ. Ολ ΣτΕ 3470/2007, 647/2004 κ. ά.). Εξ άλλου, σύμφωνα με την αρχή της αναλογικότητας (άρθρο 25 παρ. 1 του Συντάγματος) περιορισμοί στην άσκηση των ατομικών δικαιωμάτων επιτρεπτώς επιβάλλονται από τον κοινό νομοθέτη, μόνον εφ’ όσον συνάπτονται προς τον υπό του νόμου επιδιωκόμενο σκοπό και είναι πρόσφοροι και αναγκαίοι για την επίτευξή του. Αντίκειται δε μία ρύθμιση στην αρχή της αναλογικότητας, όταν το επιβαλλόμενο μέτρο είναι προδήλως απρόσφορο ή τελεί σε προφανή δυσαναλογία με τον επιδιωκόμενο σκοπό (ΣτΕ Ολομ. </w:t>
      </w:r>
      <w:r w:rsidRPr="00206E30">
        <w:rPr>
          <w:rFonts w:ascii="RobotoSlab-Bold" w:hAnsi="RobotoSlab-Bold" w:cs="RobotoSlab-Bold"/>
          <w:b/>
          <w:bCs/>
          <w:color w:val="06386D"/>
          <w:sz w:val="32"/>
          <w:szCs w:val="32"/>
          <w:highlight w:val="yellow"/>
        </w:rPr>
        <w:t>3474/2011</w:t>
      </w:r>
      <w:r w:rsidRPr="00206E30">
        <w:rPr>
          <w:rFonts w:ascii="RobotoSlab-Regular" w:hAnsi="RobotoSlab-Regular" w:cs="RobotoSlab-Regular"/>
          <w:color w:val="262626"/>
          <w:sz w:val="32"/>
          <w:szCs w:val="32"/>
          <w:highlight w:val="yellow"/>
        </w:rPr>
        <w:t xml:space="preserve">, </w:t>
      </w:r>
      <w:r w:rsidRPr="00206E30">
        <w:rPr>
          <w:rFonts w:ascii="RobotoSlab-Bold" w:hAnsi="RobotoSlab-Bold" w:cs="RobotoSlab-Bold"/>
          <w:b/>
          <w:bCs/>
          <w:color w:val="06386D"/>
          <w:sz w:val="32"/>
          <w:szCs w:val="32"/>
          <w:highlight w:val="yellow"/>
        </w:rPr>
        <w:t>990/2004</w:t>
      </w:r>
      <w:r w:rsidRPr="00206E30">
        <w:rPr>
          <w:rFonts w:ascii="RobotoSlab-Regular" w:hAnsi="RobotoSlab-Regular" w:cs="RobotoSlab-Regular"/>
          <w:color w:val="262626"/>
          <w:sz w:val="32"/>
          <w:szCs w:val="32"/>
          <w:highlight w:val="yellow"/>
        </w:rPr>
        <w:t>). Τέλος, σύμφωνα με την αρχή της αποτελεσματικής δικαστικής προστασίας, η οποία συνιστά γενική αρχή του δικαίου της Ευρωπαϊκής Ενώσεως, (βλ. αποφάσεις του Δικαστηρίου της Ευρωπαϊκής Ενώσεως της 13ης Μαρτίου 2007, [C-</w:t>
      </w:r>
      <w:r w:rsidRPr="00206E30">
        <w:rPr>
          <w:rFonts w:ascii="RobotoSlab-Bold" w:hAnsi="RobotoSlab-Bold" w:cs="RobotoSlab-Bold"/>
          <w:b/>
          <w:bCs/>
          <w:color w:val="06386D"/>
          <w:sz w:val="32"/>
          <w:szCs w:val="32"/>
          <w:highlight w:val="yellow"/>
        </w:rPr>
        <w:t>432/05</w:t>
      </w:r>
      <w:r w:rsidRPr="00206E30">
        <w:rPr>
          <w:rFonts w:ascii="RobotoSlab-Regular" w:hAnsi="RobotoSlab-Regular" w:cs="RobotoSlab-Regular"/>
          <w:color w:val="262626"/>
          <w:sz w:val="32"/>
          <w:szCs w:val="32"/>
          <w:highlight w:val="yellow"/>
        </w:rPr>
        <w:t>, Unibet], της 6ης.5.2010, [C-</w:t>
      </w:r>
      <w:r w:rsidRPr="00206E30">
        <w:rPr>
          <w:rFonts w:ascii="RobotoSlab-Bold" w:hAnsi="RobotoSlab-Bold" w:cs="RobotoSlab-Bold"/>
          <w:b/>
          <w:bCs/>
          <w:color w:val="06386D"/>
          <w:sz w:val="32"/>
          <w:szCs w:val="32"/>
          <w:highlight w:val="yellow"/>
        </w:rPr>
        <w:t>145/08</w:t>
      </w:r>
      <w:r w:rsidRPr="00206E30">
        <w:rPr>
          <w:rFonts w:ascii="RobotoSlab-Regular" w:hAnsi="RobotoSlab-Regular" w:cs="RobotoSlab-Regular"/>
          <w:color w:val="262626"/>
          <w:sz w:val="32"/>
          <w:szCs w:val="32"/>
          <w:highlight w:val="yellow"/>
        </w:rPr>
        <w:t xml:space="preserve"> - C-149/08, συνεκδικασθείσες υποθέσεις] και της 15ης Απριλίου 2008, [C-</w:t>
      </w:r>
      <w:r w:rsidRPr="00206E30">
        <w:rPr>
          <w:rFonts w:ascii="RobotoSlab-Bold" w:hAnsi="RobotoSlab-Bold" w:cs="RobotoSlab-Bold"/>
          <w:b/>
          <w:bCs/>
          <w:color w:val="06386D"/>
          <w:sz w:val="32"/>
          <w:szCs w:val="32"/>
          <w:highlight w:val="yellow"/>
        </w:rPr>
        <w:t>268/06</w:t>
      </w:r>
      <w:r w:rsidRPr="00206E30">
        <w:rPr>
          <w:rFonts w:ascii="RobotoSlab-Regular" w:hAnsi="RobotoSlab-Regular" w:cs="RobotoSlab-Regular"/>
          <w:color w:val="262626"/>
          <w:sz w:val="32"/>
          <w:szCs w:val="32"/>
          <w:highlight w:val="yellow"/>
        </w:rPr>
        <w:t xml:space="preserve">, Impact], βλ. και Ολομ.ΣτΕ 3741/2011), </w:t>
      </w:r>
      <w:r w:rsidRPr="00206E30">
        <w:rPr>
          <w:rFonts w:ascii="RobotoSlab-Regular" w:hAnsi="RobotoSlab-Regular" w:cs="RobotoSlab-Regular"/>
          <w:color w:val="262626"/>
          <w:sz w:val="32"/>
          <w:szCs w:val="32"/>
          <w:highlight w:val="yellow"/>
        </w:rPr>
        <w:lastRenderedPageBreak/>
        <w:t>ελλείψει σχετικής κοινοτικής ρυθμίσεως, σε κάθε κράτος-μέλος εναπόκειται να καθορίσει τ’ αρμόδια δικαστήρια και να ρυθμίσει τις δικονομικές προϋποθέσεις των ενδίκων προσφυγών που αποσκοπούν στη διασφάλιση όσων δικαιωμάτων αντλούν οι πολίτες από το δίκαιο της Ενώσεως, οι δικονομικές δε αυτές ρυθμίσεις δεν επιτρέπεται να καθιστούν πρακτικώς αδύνατη ή εξαιρετικώς δυσχερή την άσκηση των δικαιωμάτων αυτών.</w:t>
      </w:r>
    </w:p>
    <w:p w14:paraId="72D36C21"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w:t>
      </w:r>
    </w:p>
    <w:p w14:paraId="33E81C95"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11. Επειδή, </w:t>
      </w:r>
      <w:r w:rsidRPr="00206E30">
        <w:rPr>
          <w:rFonts w:ascii="RobotoSlab-Regular" w:hAnsi="RobotoSlab-Regular" w:cs="RobotoSlab-Regular"/>
          <w:color w:val="262626"/>
          <w:sz w:val="32"/>
          <w:szCs w:val="32"/>
          <w:highlight w:val="yellow"/>
        </w:rPr>
        <w:t xml:space="preserve">η κατ’ αρχήν πρόβλεψη αναλογικού παραβόλου ως άνω από το άρ. 74 παρ. 1 ν. 4146/2013 ως προϋπόθεση της ασκήσεως της αιτήσεως ασφαλιστικών μέτρων συνιστά θεμιτό περιορισμό του δικαιώματος παροχής προσωρινής δικαστικής προστασίας, ο οποίος εξυπηρετεί τον, θεμιτό ωσαύτως, σκοπό της αποτροπής παρελκύσεως των σχετικών δικών με την άσκηση αστηρίκτων αιτήσεων ασφαλιστικών μέτρων, κρίνεται δε και πρόσφορος για την εξυπηρέτησή του. Ειδικώτερα, το μεν ύψος του προβλεπομένου από την διάταξη αυτή παραβόλου, που ανέρχεται σε ποσοστό 1% της προϋπολογισθείσας αξίας της συμβάσεως και με ανώτατο (βλ. ΟλΣτΕ </w:t>
      </w:r>
      <w:r w:rsidRPr="00206E30">
        <w:rPr>
          <w:rFonts w:ascii="RobotoSlab-Bold" w:hAnsi="RobotoSlab-Bold" w:cs="RobotoSlab-Bold"/>
          <w:b/>
          <w:bCs/>
          <w:color w:val="06386D"/>
          <w:sz w:val="32"/>
          <w:szCs w:val="32"/>
          <w:highlight w:val="yellow"/>
        </w:rPr>
        <w:t>647/2004</w:t>
      </w:r>
      <w:r w:rsidRPr="00206E30">
        <w:rPr>
          <w:rFonts w:ascii="RobotoSlab-Regular" w:hAnsi="RobotoSlab-Regular" w:cs="RobotoSlab-Regular"/>
          <w:color w:val="262626"/>
          <w:sz w:val="32"/>
          <w:szCs w:val="32"/>
          <w:highlight w:val="yellow"/>
        </w:rPr>
        <w:t xml:space="preserve">, </w:t>
      </w:r>
      <w:r w:rsidRPr="00206E30">
        <w:rPr>
          <w:rFonts w:ascii="RobotoSlab-Bold" w:hAnsi="RobotoSlab-Bold" w:cs="RobotoSlab-Bold"/>
          <w:b/>
          <w:bCs/>
          <w:color w:val="06386D"/>
          <w:sz w:val="32"/>
          <w:szCs w:val="32"/>
          <w:highlight w:val="yellow"/>
        </w:rPr>
        <w:t>3470/2007</w:t>
      </w:r>
      <w:r w:rsidRPr="00206E30">
        <w:rPr>
          <w:rFonts w:ascii="RobotoSlab-Regular" w:hAnsi="RobotoSlab-Regular" w:cs="RobotoSlab-Regular"/>
          <w:color w:val="262626"/>
          <w:sz w:val="32"/>
          <w:szCs w:val="32"/>
          <w:highlight w:val="yellow"/>
        </w:rPr>
        <w:t xml:space="preserve">), πάντως, όριο τις 50.000, είναι εύλογο και δεν παραβιάζει την αρχή της αναλογικότητας. Και τούτο </w:t>
      </w:r>
      <w:proofErr w:type="gramStart"/>
      <w:r w:rsidRPr="00206E30">
        <w:rPr>
          <w:rFonts w:ascii="RobotoSlab-Regular" w:hAnsi="RobotoSlab-Regular" w:cs="RobotoSlab-Regular"/>
          <w:color w:val="262626"/>
          <w:sz w:val="32"/>
          <w:szCs w:val="32"/>
          <w:highlight w:val="yellow"/>
        </w:rPr>
        <w:t>διότι :</w:t>
      </w:r>
      <w:proofErr w:type="gramEnd"/>
      <w:r w:rsidRPr="00206E30">
        <w:rPr>
          <w:rFonts w:ascii="RobotoSlab-Regular" w:hAnsi="RobotoSlab-Regular" w:cs="RobotoSlab-Regular"/>
          <w:color w:val="262626"/>
          <w:sz w:val="32"/>
          <w:szCs w:val="32"/>
          <w:highlight w:val="yellow"/>
        </w:rPr>
        <w:t xml:space="preserve"> α) οι διεκδικούντες την ανάθεση συμβάσεως άνω του ορίου των κοινοτικών Οδηγιών πρέπει να έχουν ανάλογη χρηματοοικονομική επάρκεια (πρβλ. και άρθρο 45 του π. δ/τος 59/2007, άρθρα 42, 43 και 45 του π. δ/τος 60/2007, άρθρα 6, 8α και 25 του π. δ/τος 118/2007), ώστε να είναι σε θέση τόσο να συμμετάσχουν λυσιτελώς στον οικείο διαγωνισμό, όσο και, σε περίπτωση συνάψεως της σχετικής συμβάσεως, να προβούν στην προσήκουσα εκτέλεσή της. Το τελευταίο αυτό απαιτεί εκ μέρους τους την ύπαρξη ρευστότητος, ώστε να είναι εξασφαλισμένη από την πλευρά τους η δυνατότητα εκτελέσεως της συμβάσεως (βλ. και άρ. 8.11 της διακηρύξεως), αλλά και η συμμόρφωσή τους προς παρεπόμενες οικονομικές υποχρεώσεις, πολύ επαχθέστερες του παραβόλου (βλ. και άρ. </w:t>
      </w:r>
      <w:r w:rsidRPr="00206E30">
        <w:rPr>
          <w:rFonts w:ascii="RobotoSlab-Regular" w:hAnsi="RobotoSlab-Regular" w:cs="RobotoSlab-Regular"/>
          <w:color w:val="262626"/>
          <w:sz w:val="32"/>
          <w:szCs w:val="32"/>
          <w:highlight w:val="yellow"/>
        </w:rPr>
        <w:lastRenderedPageBreak/>
        <w:t>8.2 και 14 της διακηρύξεως), β) ο νομοθέτης αποδίδει ιδιαίτερη σημασία στην ταχεία επίλυση των σχετικών διαφορών, προκειμένου να διασφαλίζεται η χωρίς αδικαιολόγητες καθυστερήσεις ολοκλήρωση των διαγωνισμών και η σύναψη συμβάσεων σημαντικών κυρίως για την εθνική οικονομία, ιδίως δε κατά την εξαιρετικά κρίσιμη για τη Χώρα χρονική αυτή περίοδο, αλλά και για τους διαγωνιζομένους, τάσσοντας σύντομες προθεσμίες για την εκδίκαση των αιτήσεων ασφαλιστικών μέτρων και την έκδοση αποφάσεων επ’ αυτών [βλ. άρθρο 5 παρ. 3 και 6 του ν. 3886/2010, όπως η παράγραφος 6 τροποποιήθηκε με το άρθρο 63 παρ. 3 του ν. 4055/2012 (Α΄51)] και γ) το επίμαχο παράβολο αποδίδεται στο σύνολό του στον αιτούντα τόσο σε περίπτωση αποδοχής, έστω και μερικής, της αιτήσεως ασφαλιστικών μέτρων όσο και σε περίπτωση απορρίψεως της αιτήσεως για λόγους δημοσίου συμφέροντος (βλ. την νέα διάταξη του τελευταίου εδαφίου της παραγρ. 2 του άρθρου 5 του ν. 3886/2010). Κατά συνέπειαν, με το καθοριζόμενο κατά τον ανωτέρω τρόπο ύψος του παραβόλου και την θέσπιση ανωτάτου ορίου επιβολής αυτού δεν παραβιάζονται οι ανωτέρω συνταγματικές και λοιπές υπερνομοθετικής ισχύος διατάξεις και αρχές</w:t>
      </w:r>
      <w:r>
        <w:rPr>
          <w:rFonts w:ascii="RobotoSlab-Regular" w:hAnsi="RobotoSlab-Regular" w:cs="RobotoSlab-Regular"/>
          <w:color w:val="262626"/>
          <w:sz w:val="32"/>
          <w:szCs w:val="32"/>
        </w:rPr>
        <w:t xml:space="preserve"> (βλ. Ε.Α. </w:t>
      </w:r>
      <w:r>
        <w:rPr>
          <w:rFonts w:ascii="RobotoSlab-Bold" w:hAnsi="RobotoSlab-Bold" w:cs="RobotoSlab-Bold"/>
          <w:b/>
          <w:bCs/>
          <w:color w:val="06386D"/>
          <w:sz w:val="32"/>
          <w:szCs w:val="32"/>
        </w:rPr>
        <w:t>136/2013</w:t>
      </w:r>
      <w:r>
        <w:rPr>
          <w:rFonts w:ascii="RobotoSlab-Regular" w:hAnsi="RobotoSlab-Regular" w:cs="RobotoSlab-Regular"/>
          <w:color w:val="262626"/>
          <w:sz w:val="32"/>
          <w:szCs w:val="32"/>
        </w:rPr>
        <w:t xml:space="preserve">, Ολομ., πρβλ. και ΣτΕ Ολομ. </w:t>
      </w:r>
      <w:r>
        <w:rPr>
          <w:rFonts w:ascii="RobotoSlab-Bold" w:hAnsi="RobotoSlab-Bold" w:cs="RobotoSlab-Bold"/>
          <w:b/>
          <w:bCs/>
          <w:color w:val="06386D"/>
          <w:sz w:val="32"/>
          <w:szCs w:val="32"/>
        </w:rPr>
        <w:t>601/2012</w:t>
      </w:r>
      <w:r>
        <w:rPr>
          <w:rFonts w:ascii="RobotoSlab-Regular" w:hAnsi="RobotoSlab-Regular" w:cs="RobotoSlab-Regular"/>
          <w:color w:val="262626"/>
          <w:sz w:val="32"/>
          <w:szCs w:val="32"/>
        </w:rPr>
        <w:t xml:space="preserve">, </w:t>
      </w:r>
      <w:r>
        <w:rPr>
          <w:rFonts w:ascii="RobotoSlab-Bold" w:hAnsi="RobotoSlab-Bold" w:cs="RobotoSlab-Bold"/>
          <w:b/>
          <w:bCs/>
          <w:color w:val="06386D"/>
          <w:sz w:val="32"/>
          <w:szCs w:val="32"/>
        </w:rPr>
        <w:t>1852/2009</w:t>
      </w:r>
      <w:r>
        <w:rPr>
          <w:rFonts w:ascii="RobotoSlab-Regular" w:hAnsi="RobotoSlab-Regular" w:cs="RobotoSlab-Regular"/>
          <w:color w:val="262626"/>
          <w:sz w:val="32"/>
          <w:szCs w:val="32"/>
        </w:rPr>
        <w:t xml:space="preserve"> και </w:t>
      </w:r>
      <w:r>
        <w:rPr>
          <w:rFonts w:ascii="RobotoSlab-Bold" w:hAnsi="RobotoSlab-Bold" w:cs="RobotoSlab-Bold"/>
          <w:b/>
          <w:bCs/>
          <w:color w:val="06386D"/>
          <w:sz w:val="32"/>
          <w:szCs w:val="32"/>
        </w:rPr>
        <w:t>2780/2012</w:t>
      </w:r>
      <w:r>
        <w:rPr>
          <w:rFonts w:ascii="RobotoSlab-Regular" w:hAnsi="RobotoSlab-Regular" w:cs="RobotoSlab-Regular"/>
          <w:color w:val="262626"/>
          <w:sz w:val="32"/>
          <w:szCs w:val="32"/>
        </w:rPr>
        <w:t xml:space="preserve"> επταμ.) </w:t>
      </w:r>
    </w:p>
    <w:p w14:paraId="6A9D5DDD"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bookmarkStart w:id="0" w:name="_GoBack"/>
      <w:bookmarkEnd w:id="0"/>
    </w:p>
    <w:p w14:paraId="3226CA0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12. Επειδή, περαιτέρω, </w:t>
      </w:r>
      <w:r w:rsidRPr="00206E30">
        <w:rPr>
          <w:rFonts w:ascii="RobotoSlab-Regular" w:hAnsi="RobotoSlab-Regular" w:cs="RobotoSlab-Regular"/>
          <w:color w:val="262626"/>
          <w:sz w:val="32"/>
          <w:szCs w:val="32"/>
          <w:highlight w:val="yellow"/>
        </w:rPr>
        <w:t xml:space="preserve">η επίμαχη ρύθμιση του άρθρου 74 παρ. 1 ν. 4146/2013 δεν αντίκειται σε κάποια υπερτέρας κοινής ισχύος διάταξη ούτε και κατά το μέρος, με το οποίο ήδη επιμερίζεται η υποχρέωση του διαδίκου να καταβάλει το συνολικό ποσό του παραβόλου κατά μεν το ένα τρίτο του με την κατάθεση της αιτήσεως κατά δε τα δύο τρίτα του στην πρώτη συζήτηση της υποθέσεως. Συναρτάται, αντιθέτως, και δικαιολογείται η ρύθμιση με την ανάγκη αποδείξεως αφ’ ενός μεν σοβαρής προθέσεως του αιτούντος την λήψη ασφαλιστικών μέτρων, αφ’ ετέρου δε (εν όψει και του άρ. 4 παρ. 4 ν. 3886/2010, ως ισχύει) της εμμονής του στην βασιμότητα των </w:t>
      </w:r>
      <w:r w:rsidRPr="00206E30">
        <w:rPr>
          <w:rFonts w:ascii="RobotoSlab-Regular" w:hAnsi="RobotoSlab-Regular" w:cs="RobotoSlab-Regular"/>
          <w:color w:val="262626"/>
          <w:sz w:val="32"/>
          <w:szCs w:val="32"/>
          <w:highlight w:val="yellow"/>
        </w:rPr>
        <w:lastRenderedPageBreak/>
        <w:t>αιτιάσεών του μέχρι και την συζήτηση της υποθέσεώς του, οπότε υποχρεούται να καταβάλει τα 2/3 του παραβόλου. Εξ άλλου, μόνο το γεγονός ότι σύμφωνα με τις ανωτέρω διατάξεις ολόκληρο το παράβολο καταβάλλεται (τμηματικώς) επί ποινή απαραδέκτου έως την πρώτη συζήτηση της αιτήσεως ασφαλιστικών μέτρων και δεν προβλέπεται ότι μέρος του επιδικάζεται με την εκδιδομένη απόφαση εις βάρος του ηττωμένου αιτούντος, δεν συνιστά υπέρμετρο περιορισμό του δικαιώματος δικαστικής προστασίας. Και τούτο, διότι, αν ληφθεί υπ’ όψιν, πρώτον, η τασσομένη από τον νόμο συντομώτατη προθεσμία των 20 ημερών για την έκδοση της αποφάσεως από την εκδίκαση της αιτήσεως ασφαλιστικών μέτρων (και 7 ημερών για την έκδοση του διατακτικού της) και, δεύτερον, η απαιτούμενη από το νόμο και την διακήρυξη όχι μόνον χρηματοοικονομική επάρκεια αλλά και δανειοληπτική ικανότητα του διαγωνιζομένου για την άρτια και έγκαιρη εκτέλεση της συμβάσεως, της οποίας επιδιώκει τη σύναψη, δεν μπορεί ευλόγως να θεωρηθεί ότι η απαίτηση για καταβολή πλήρους του ποσού του παραβόλου έως την πρώτη συζήτηση της αιτήσεως ασφαλιστικών μέτρων, και όχι μέρους αυτού μόλις μετά εικοσαήμερο, υπερβαίνει την χρηματοοικονομική και πιστοληπτική ικανότητα του αιτούντος, με συνέπεια να καθίσταται πρακτικώς αδύνατη ή εξαιρετικώς δυσχερής η εκ μέρους του άσκηση της αιτήσεως ασφαλιστικών μέτρων</w:t>
      </w:r>
      <w:r>
        <w:rPr>
          <w:rFonts w:ascii="RobotoSlab-Regular" w:hAnsi="RobotoSlab-Regular" w:cs="RobotoSlab-Regular"/>
          <w:color w:val="262626"/>
          <w:sz w:val="32"/>
          <w:szCs w:val="32"/>
        </w:rPr>
        <w:t xml:space="preserve">. Εν σχέσει με τα ανωτέρω γενόμενα δεκτά </w:t>
      </w:r>
      <w:r w:rsidRPr="00206E30">
        <w:rPr>
          <w:rFonts w:ascii="RobotoSlab-Regular" w:hAnsi="RobotoSlab-Regular" w:cs="RobotoSlab-Regular"/>
          <w:b/>
          <w:color w:val="262626"/>
          <w:sz w:val="32"/>
          <w:szCs w:val="32"/>
        </w:rPr>
        <w:t>μειοψήφησε</w:t>
      </w:r>
      <w:r>
        <w:rPr>
          <w:rFonts w:ascii="RobotoSlab-Regular" w:hAnsi="RobotoSlab-Regular" w:cs="RobotoSlab-Regular"/>
          <w:color w:val="262626"/>
          <w:sz w:val="32"/>
          <w:szCs w:val="32"/>
        </w:rPr>
        <w:t xml:space="preserve"> ο Σύμβουλος Α. Ντέμσιας, ο οποίος υποστήριξε τα εξής: η ρύθμιση του άρθρου 74 παρ. 1 ν. 4146/2013 ως προς την χρονική κλιμάκωση της καταβολής του παραβόλου είναι ουσιωδώς όμοια, αν όχι και δυσμενέστερη για τους αιτούντες, με αυτήν του άρ. 28 ν. 4111/2013, εισάγει δε υπέρμετρο περιορισμό του δικαιώματος προσωρινής προστασίας, ο οποίος αντίκειται στην αρχή της αναλογικότητας, διότι προϋποθέτει την ικανότητα άμεσης και προκαταβολικής διαθέσεως από τον διαγωνιζόμενο - αιτούντα ενός σημαντικού ποσού κατά το χρονικό σημείο καταθέσεως της αιτήσεως ασφαλιστικών </w:t>
      </w:r>
      <w:r>
        <w:rPr>
          <w:rFonts w:ascii="RobotoSlab-Regular" w:hAnsi="RobotoSlab-Regular" w:cs="RobotoSlab-Regular"/>
          <w:color w:val="262626"/>
          <w:sz w:val="32"/>
          <w:szCs w:val="32"/>
        </w:rPr>
        <w:lastRenderedPageBreak/>
        <w:t xml:space="preserve">μέτρων. </w:t>
      </w:r>
    </w:p>
    <w:p w14:paraId="1521CAE9"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13. Επειδή, κατόπιν των ανωτέρω εκτεθέντων, η υπό κρίση αίτηση ασφαλιστικών μέτρων πρέπει ν’ απορριφθεί ως απαράδεκτη, δεδομένου ότι η αιτούσα δεν κατέβαλε ολόκληρο το ποσό του παραβόλου μέχρι την συζήτηση της υποθέσεως, σύμφωνα με το άρθρο 5 παρ. 1 του ν. 3886/2010, όπως ισχύει. Πρέπει, όμως, να της επιστραφεί το καταβληθέν κατά τ΄ ανωτέρω ελλιπώς παράβολο (βλ. ΟλΣτΕ </w:t>
      </w:r>
      <w:r>
        <w:rPr>
          <w:rFonts w:ascii="RobotoSlab-Bold" w:hAnsi="RobotoSlab-Bold" w:cs="RobotoSlab-Bold"/>
          <w:b/>
          <w:bCs/>
          <w:color w:val="06386D"/>
          <w:sz w:val="32"/>
          <w:szCs w:val="32"/>
        </w:rPr>
        <w:t>2485/1978</w:t>
      </w:r>
      <w:r>
        <w:rPr>
          <w:rFonts w:ascii="RobotoSlab-Regular" w:hAnsi="RobotoSlab-Regular" w:cs="RobotoSlab-Regular"/>
          <w:color w:val="262626"/>
          <w:sz w:val="32"/>
          <w:szCs w:val="32"/>
        </w:rPr>
        <w:t xml:space="preserve">, πρβλ. ΟλΣτΕ </w:t>
      </w:r>
      <w:r>
        <w:rPr>
          <w:rFonts w:ascii="RobotoSlab-Bold" w:hAnsi="RobotoSlab-Bold" w:cs="RobotoSlab-Bold"/>
          <w:b/>
          <w:bCs/>
          <w:color w:val="06386D"/>
          <w:sz w:val="32"/>
          <w:szCs w:val="32"/>
        </w:rPr>
        <w:t>777/2013</w:t>
      </w:r>
      <w:r>
        <w:rPr>
          <w:rFonts w:ascii="RobotoSlab-Regular" w:hAnsi="RobotoSlab-Regular" w:cs="RobotoSlab-Regular"/>
          <w:color w:val="262626"/>
          <w:sz w:val="32"/>
          <w:szCs w:val="32"/>
        </w:rPr>
        <w:t xml:space="preserve">). </w:t>
      </w:r>
    </w:p>
    <w:p w14:paraId="4C7207FD" w14:textId="77777777" w:rsidR="00206E30" w:rsidRDefault="00206E30" w:rsidP="008D5B99">
      <w:pPr>
        <w:widowControl w:val="0"/>
        <w:autoSpaceDE w:val="0"/>
        <w:autoSpaceDN w:val="0"/>
        <w:adjustRightInd w:val="0"/>
        <w:jc w:val="both"/>
        <w:rPr>
          <w:rFonts w:ascii="RobotoSlab-Regular" w:hAnsi="RobotoSlab-Regular" w:cs="RobotoSlab-Regular"/>
          <w:color w:val="262626"/>
          <w:sz w:val="32"/>
          <w:szCs w:val="32"/>
        </w:rPr>
      </w:pPr>
    </w:p>
    <w:p w14:paraId="4DA9495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Δ ι ά τ α ύ τ α </w:t>
      </w:r>
    </w:p>
    <w:p w14:paraId="726FF6B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Απορρίπτει την υπό κρίσιν αίτηση, </w:t>
      </w:r>
    </w:p>
    <w:p w14:paraId="4C59597F"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Δέχεται την ασκηθείσα παρέμβαση, </w:t>
      </w:r>
    </w:p>
    <w:p w14:paraId="1ACB36D4"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Διατάσσει την απόδοση του καταβληθέντος παραβόλου και </w:t>
      </w:r>
    </w:p>
    <w:p w14:paraId="010326C1"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Επιβάλλει εις βάρος της αιτούσας την δικαστική δαπάνη της εταιρείας «ΣΤΑΣΥ Α.Ε.», η οποία ανέρχεται σε επτακόσια (700) ευρώ, καθώς και της παρεμβαίνουσας εταιρείας «G4S ΙΔΙΩΤΙΚΗ ΕΠΙΧΕΙΡΗΣΗ ΠΑΡΟΧΗΣ ΕΠΑΝΔΡΩΜΕΝΩΝ – ΤΕΧΝΙΚΩΝ ΥΠΗΡΕΣΙΩΝ ΑΣΦΑΛΕΙΑΣ Α.Ε.», η οποία ανέρχεται σε οκτακόσια ογδόντα (880) ευρώ. </w:t>
      </w:r>
    </w:p>
    <w:p w14:paraId="70F27561"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Κρίθηκε και αποφασίστηκε στην Αθήνα στις 31 Οκτωβρίου 2013 και εκδόθηκε στις 7 Νοεμβρίου του ιδίου έτους. </w:t>
      </w:r>
    </w:p>
    <w:p w14:paraId="208DFE15"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Ο Πρόεδρος      Η Γραμματέας </w:t>
      </w:r>
    </w:p>
    <w:p w14:paraId="0259239B"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w:t>
      </w:r>
    </w:p>
    <w:p w14:paraId="30B798B9" w14:textId="77777777" w:rsidR="008D5B99" w:rsidRDefault="008D5B99" w:rsidP="008D5B99">
      <w:pPr>
        <w:widowControl w:val="0"/>
        <w:autoSpaceDE w:val="0"/>
        <w:autoSpaceDN w:val="0"/>
        <w:adjustRightInd w:val="0"/>
        <w:jc w:val="both"/>
        <w:rPr>
          <w:rFonts w:ascii="RobotoSlab-Regular" w:hAnsi="RobotoSlab-Regular" w:cs="RobotoSlab-Regular"/>
          <w:color w:val="262626"/>
          <w:sz w:val="32"/>
          <w:szCs w:val="32"/>
        </w:rPr>
      </w:pPr>
      <w:r>
        <w:rPr>
          <w:rFonts w:ascii="RobotoSlab-Regular" w:hAnsi="RobotoSlab-Regular" w:cs="RobotoSlab-Regular"/>
          <w:color w:val="262626"/>
          <w:sz w:val="32"/>
          <w:szCs w:val="32"/>
        </w:rPr>
        <w:t xml:space="preserve">  </w:t>
      </w:r>
    </w:p>
    <w:p w14:paraId="0E6AB985" w14:textId="77777777" w:rsidR="00CD39AB" w:rsidRDefault="008D5B99" w:rsidP="008D5B99">
      <w:r>
        <w:rPr>
          <w:rFonts w:ascii="RobotoSlab-Regular" w:hAnsi="RobotoSlab-Regular" w:cs="RobotoSlab-Regular"/>
          <w:color w:val="262626"/>
          <w:sz w:val="32"/>
          <w:szCs w:val="32"/>
        </w:rPr>
        <w:t> Σωτ. Αλ. Ρίζος     Μ. Παπασαράντη</w:t>
      </w:r>
    </w:p>
    <w:sectPr w:rsidR="00CD39AB"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22AA" w14:textId="77777777" w:rsidR="0008212F" w:rsidRDefault="0008212F" w:rsidP="008D5B99">
      <w:r>
        <w:separator/>
      </w:r>
    </w:p>
  </w:endnote>
  <w:endnote w:type="continuationSeparator" w:id="0">
    <w:p w14:paraId="59BF8C0B" w14:textId="77777777" w:rsidR="0008212F" w:rsidRDefault="0008212F" w:rsidP="008D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6B12B" w14:textId="77777777" w:rsidR="008D5B99" w:rsidRDefault="008D5B99" w:rsidP="008D5B9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784C2" w14:textId="77777777" w:rsidR="008D5B99" w:rsidRDefault="008D5B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D9648" w14:textId="77777777" w:rsidR="008D5B99" w:rsidRDefault="008D5B99" w:rsidP="008D5B9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E30">
      <w:rPr>
        <w:rStyle w:val="PageNumber"/>
        <w:noProof/>
      </w:rPr>
      <w:t>10</w:t>
    </w:r>
    <w:r>
      <w:rPr>
        <w:rStyle w:val="PageNumber"/>
      </w:rPr>
      <w:fldChar w:fldCharType="end"/>
    </w:r>
  </w:p>
  <w:p w14:paraId="409B0094" w14:textId="77777777" w:rsidR="008D5B99" w:rsidRDefault="008D5B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2501" w14:textId="77777777" w:rsidR="0008212F" w:rsidRDefault="0008212F" w:rsidP="008D5B99">
      <w:r>
        <w:separator/>
      </w:r>
    </w:p>
  </w:footnote>
  <w:footnote w:type="continuationSeparator" w:id="0">
    <w:p w14:paraId="2EFC347C" w14:textId="77777777" w:rsidR="0008212F" w:rsidRDefault="0008212F" w:rsidP="008D5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99"/>
    <w:rsid w:val="0008212F"/>
    <w:rsid w:val="00206E30"/>
    <w:rsid w:val="002E5A5B"/>
    <w:rsid w:val="008D5B99"/>
    <w:rsid w:val="00CD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B21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5B99"/>
    <w:pPr>
      <w:tabs>
        <w:tab w:val="center" w:pos="4153"/>
        <w:tab w:val="right" w:pos="8306"/>
      </w:tabs>
    </w:pPr>
  </w:style>
  <w:style w:type="character" w:customStyle="1" w:styleId="FooterChar">
    <w:name w:val="Footer Char"/>
    <w:basedOn w:val="DefaultParagraphFont"/>
    <w:link w:val="Footer"/>
    <w:uiPriority w:val="99"/>
    <w:rsid w:val="008D5B99"/>
  </w:style>
  <w:style w:type="character" w:styleId="PageNumber">
    <w:name w:val="page number"/>
    <w:basedOn w:val="DefaultParagraphFont"/>
    <w:uiPriority w:val="99"/>
    <w:semiHidden/>
    <w:unhideWhenUsed/>
    <w:rsid w:val="008D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3157</Words>
  <Characters>18000</Characters>
  <Application>Microsoft Macintosh Word</Application>
  <DocSecurity>0</DocSecurity>
  <Lines>150</Lines>
  <Paragraphs>42</Paragraphs>
  <ScaleCrop>false</ScaleCrop>
  <LinksUpToDate>false</LinksUpToDate>
  <CharactersWithSpaces>21115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2016-10-29T17:42:00Z</dcterms:created>
  <dcterms:modified xsi:type="dcterms:W3CDTF">2016-10-29T18:04:00Z</dcterms:modified>
</cp:coreProperties>
</file>